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50EE" w14:textId="77777777" w:rsidR="009B30F4" w:rsidRDefault="001D2C50">
      <w:pPr>
        <w:pStyle w:val="Body"/>
        <w:jc w:val="center"/>
        <w:rPr>
          <w:sz w:val="22"/>
          <w:szCs w:val="22"/>
        </w:rPr>
      </w:pPr>
      <w:r>
        <w:rPr>
          <w:sz w:val="22"/>
          <w:szCs w:val="22"/>
        </w:rPr>
        <w:t xml:space="preserve"> OLLI</w:t>
      </w:r>
    </w:p>
    <w:p w14:paraId="2FAC50EF" w14:textId="77777777" w:rsidR="009B30F4" w:rsidRDefault="001D2C50">
      <w:pPr>
        <w:pStyle w:val="Body"/>
        <w:jc w:val="center"/>
        <w:rPr>
          <w:sz w:val="22"/>
          <w:szCs w:val="22"/>
        </w:rPr>
      </w:pPr>
      <w:r>
        <w:rPr>
          <w:sz w:val="22"/>
          <w:szCs w:val="22"/>
          <w:lang w:val="en-US"/>
        </w:rPr>
        <w:t>AT Berkshire Community College</w:t>
      </w:r>
      <w:r>
        <w:rPr>
          <w:sz w:val="22"/>
          <w:szCs w:val="22"/>
        </w:rPr>
        <w:br/>
      </w:r>
    </w:p>
    <w:p w14:paraId="2FAC50F0" w14:textId="77777777" w:rsidR="009B30F4" w:rsidRDefault="001D2C50">
      <w:pPr>
        <w:pStyle w:val="Body"/>
        <w:jc w:val="center"/>
        <w:rPr>
          <w:b/>
          <w:bCs/>
          <w:sz w:val="22"/>
          <w:szCs w:val="22"/>
        </w:rPr>
      </w:pPr>
      <w:r>
        <w:rPr>
          <w:b/>
          <w:bCs/>
          <w:lang w:val="en-US"/>
        </w:rPr>
        <w:t>Real Estate Investments for the 21</w:t>
      </w:r>
      <w:r>
        <w:rPr>
          <w:b/>
          <w:bCs/>
          <w:vertAlign w:val="superscript"/>
        </w:rPr>
        <w:t>st</w:t>
      </w:r>
      <w:r>
        <w:rPr>
          <w:b/>
          <w:bCs/>
        </w:rPr>
        <w:t xml:space="preserve"> Century</w:t>
      </w:r>
    </w:p>
    <w:p w14:paraId="2FAC50F1" w14:textId="77777777" w:rsidR="009B30F4" w:rsidRDefault="009B30F4">
      <w:pPr>
        <w:pStyle w:val="Body"/>
        <w:jc w:val="center"/>
        <w:rPr>
          <w:b/>
          <w:bCs/>
        </w:rPr>
      </w:pPr>
    </w:p>
    <w:p w14:paraId="2FAC50F2" w14:textId="77777777" w:rsidR="009B30F4" w:rsidRDefault="001D2C50">
      <w:pPr>
        <w:pStyle w:val="Body"/>
        <w:rPr>
          <w:sz w:val="22"/>
          <w:szCs w:val="22"/>
        </w:rPr>
      </w:pPr>
      <w:r>
        <w:rPr>
          <w:noProof/>
          <w:sz w:val="22"/>
          <w:szCs w:val="22"/>
          <w:lang w:val="en-US"/>
        </w:rPr>
        <mc:AlternateContent>
          <mc:Choice Requires="wps">
            <w:drawing>
              <wp:inline distT="0" distB="0" distL="0" distR="0" wp14:anchorId="2FAC513A" wp14:editId="2FAC513B">
                <wp:extent cx="5486273" cy="17585"/>
                <wp:effectExtent l="0" t="0" r="0" b="0"/>
                <wp:docPr id="1073741825" name="officeArt object"/>
                <wp:cNvGraphicFramePr/>
                <a:graphic xmlns:a="http://schemas.openxmlformats.org/drawingml/2006/main">
                  <a:graphicData uri="http://schemas.microsoft.com/office/word/2010/wordprocessingShape">
                    <wps:wsp>
                      <wps:cNvSpPr/>
                      <wps:spPr>
                        <a:xfrm>
                          <a:off x="0" y="0"/>
                          <a:ext cx="5486273" cy="17585"/>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32.0pt;height:1.4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b/>
          <w:bCs/>
          <w:sz w:val="22"/>
          <w:szCs w:val="22"/>
          <w:lang w:val="en-US"/>
        </w:rPr>
        <w:t xml:space="preserve"> Stephen J. Pearlman</w:t>
      </w:r>
      <w:r>
        <w:rPr>
          <w:b/>
          <w:bCs/>
        </w:rPr>
        <w:t xml:space="preserve"> </w:t>
      </w:r>
      <w:r>
        <w:rPr>
          <w:b/>
          <w:bCs/>
        </w:rPr>
        <w:tab/>
      </w:r>
      <w:r>
        <w:rPr>
          <w:b/>
          <w:bCs/>
        </w:rPr>
        <w:tab/>
      </w:r>
      <w:r>
        <w:rPr>
          <w:b/>
          <w:bCs/>
        </w:rPr>
        <w:tab/>
      </w:r>
    </w:p>
    <w:p w14:paraId="2FAC50F3" w14:textId="77777777" w:rsidR="009B30F4" w:rsidRDefault="001D2C50">
      <w:pPr>
        <w:pStyle w:val="Body"/>
        <w:rPr>
          <w:b/>
          <w:bCs/>
          <w:sz w:val="22"/>
          <w:szCs w:val="22"/>
        </w:rPr>
      </w:pPr>
      <w:r>
        <w:rPr>
          <w:b/>
          <w:bCs/>
          <w:sz w:val="22"/>
          <w:szCs w:val="22"/>
          <w:lang w:val="en-US"/>
        </w:rPr>
        <w:t xml:space="preserve">sjpearlman@gmail.com     </w:t>
      </w:r>
      <w:r>
        <w:rPr>
          <w:b/>
          <w:bCs/>
          <w:sz w:val="22"/>
          <w:szCs w:val="22"/>
          <w:lang w:val="en-US"/>
        </w:rPr>
        <w:tab/>
      </w:r>
      <w:r>
        <w:rPr>
          <w:b/>
          <w:bCs/>
          <w:sz w:val="22"/>
          <w:szCs w:val="22"/>
          <w:lang w:val="en-US"/>
        </w:rPr>
        <w:tab/>
      </w:r>
      <w:r>
        <w:rPr>
          <w:b/>
          <w:bCs/>
          <w:sz w:val="22"/>
          <w:szCs w:val="22"/>
          <w:lang w:val="en-US"/>
        </w:rPr>
        <w:tab/>
        <w:t xml:space="preserve">Thursday: 9:30am-11:00am </w:t>
      </w:r>
    </w:p>
    <w:p w14:paraId="2FAC50F4" w14:textId="77777777" w:rsidR="009B30F4" w:rsidRDefault="001D2C50">
      <w:pPr>
        <w:pStyle w:val="Body"/>
        <w:rPr>
          <w:b/>
          <w:bCs/>
        </w:rPr>
      </w:pPr>
      <w:r>
        <w:rPr>
          <w:b/>
          <w:bCs/>
          <w:sz w:val="22"/>
          <w:szCs w:val="22"/>
          <w:lang w:val="de-DE"/>
        </w:rPr>
        <w:tab/>
      </w:r>
      <w:r>
        <w:rPr>
          <w:b/>
          <w:bCs/>
          <w:sz w:val="22"/>
          <w:szCs w:val="22"/>
          <w:lang w:val="de-DE"/>
        </w:rPr>
        <w:tab/>
      </w:r>
      <w:r>
        <w:rPr>
          <w:b/>
          <w:bCs/>
          <w:sz w:val="22"/>
          <w:szCs w:val="22"/>
          <w:lang w:val="de-DE"/>
        </w:rPr>
        <w:tab/>
      </w:r>
      <w:r>
        <w:rPr>
          <w:b/>
          <w:bCs/>
          <w:sz w:val="22"/>
          <w:szCs w:val="22"/>
          <w:lang w:val="de-DE"/>
        </w:rPr>
        <w:tab/>
      </w:r>
      <w:r>
        <w:rPr>
          <w:b/>
          <w:bCs/>
          <w:sz w:val="22"/>
          <w:szCs w:val="22"/>
          <w:lang w:val="de-DE"/>
        </w:rPr>
        <w:tab/>
      </w:r>
      <w:r>
        <w:rPr>
          <w:b/>
          <w:bCs/>
          <w:sz w:val="22"/>
          <w:szCs w:val="22"/>
          <w:lang w:val="de-DE"/>
        </w:rPr>
        <w:tab/>
        <w:t xml:space="preserve">  Fall, 2020</w:t>
      </w:r>
    </w:p>
    <w:p w14:paraId="2FAC50F5" w14:textId="77777777" w:rsidR="009B30F4" w:rsidRDefault="001D2C50">
      <w:pPr>
        <w:pStyle w:val="Body"/>
        <w:rPr>
          <w:b/>
          <w:bCs/>
          <w:sz w:val="22"/>
          <w:szCs w:val="22"/>
        </w:rPr>
      </w:pPr>
      <w:r>
        <w:rPr>
          <w:b/>
          <w:bCs/>
          <w:sz w:val="22"/>
          <w:szCs w:val="22"/>
          <w:lang w:val="de-DE"/>
        </w:rPr>
        <w:t>(917) 767-1274</w:t>
      </w:r>
      <w:r>
        <w:rPr>
          <w:b/>
          <w:bCs/>
          <w:sz w:val="22"/>
          <w:szCs w:val="22"/>
          <w:lang w:val="de-DE"/>
        </w:rPr>
        <w:tab/>
      </w:r>
      <w:r>
        <w:rPr>
          <w:b/>
          <w:bCs/>
          <w:sz w:val="22"/>
          <w:szCs w:val="22"/>
          <w:lang w:val="de-DE"/>
        </w:rPr>
        <w:tab/>
      </w:r>
      <w:r>
        <w:rPr>
          <w:b/>
          <w:bCs/>
          <w:sz w:val="22"/>
          <w:szCs w:val="22"/>
          <w:lang w:val="de-DE"/>
        </w:rPr>
        <w:tab/>
      </w:r>
      <w:r>
        <w:rPr>
          <w:b/>
          <w:bCs/>
          <w:sz w:val="22"/>
          <w:szCs w:val="22"/>
          <w:lang w:val="de-DE"/>
        </w:rPr>
        <w:tab/>
      </w:r>
      <w:r>
        <w:rPr>
          <w:b/>
          <w:bCs/>
          <w:sz w:val="22"/>
          <w:szCs w:val="22"/>
          <w:lang w:val="de-DE"/>
        </w:rPr>
        <w:tab/>
        <w:t xml:space="preserve">    Room: </w:t>
      </w:r>
      <w:r>
        <w:rPr>
          <w:b/>
          <w:bCs/>
          <w:sz w:val="22"/>
          <w:szCs w:val="22"/>
          <w:lang w:val="de-DE"/>
        </w:rPr>
        <w:tab/>
        <w:t xml:space="preserve">  </w:t>
      </w:r>
    </w:p>
    <w:p w14:paraId="2FAC50F6" w14:textId="77777777" w:rsidR="009B30F4" w:rsidRDefault="001D2C50">
      <w:pPr>
        <w:pStyle w:val="Heading"/>
        <w:rPr>
          <w:rFonts w:ascii="Times New Roman" w:eastAsia="Times New Roman" w:hAnsi="Times New Roman" w:cs="Times New Roman"/>
        </w:rPr>
      </w:pPr>
      <w:r>
        <w:rPr>
          <w:rFonts w:ascii="Times New Roman" w:hAnsi="Times New Roman"/>
        </w:rPr>
        <w:t>Course Overview</w:t>
      </w:r>
    </w:p>
    <w:p w14:paraId="2FAC50F7" w14:textId="6F610F9F" w:rsidR="009B30F4" w:rsidRDefault="00D3678A">
      <w:pPr>
        <w:pStyle w:val="Body"/>
        <w:tabs>
          <w:tab w:val="center" w:pos="576"/>
          <w:tab w:val="left" w:pos="1440"/>
        </w:tabs>
        <w:rPr>
          <w:b/>
          <w:bCs/>
        </w:rPr>
      </w:pPr>
      <w:r>
        <w:rPr>
          <w:lang w:val="en-US"/>
        </w:rPr>
        <w:t xml:space="preserve">This course is an </w:t>
      </w:r>
      <w:bookmarkStart w:id="0" w:name="_GoBack"/>
      <w:bookmarkEnd w:id="0"/>
      <w:r w:rsidR="001D2C50">
        <w:rPr>
          <w:lang w:val="en-US"/>
        </w:rPr>
        <w:t>introduction to and an overview of  the real estate investments, including debt and equity, for both residential and commercial real estate.  The course will touch on all facets of public and private capital providers, as well as investors and the recent history of securitized real estate debt and equity including the structure of CMBS and other securitized products.. We will also address securitized equity: the history, growth, structure and measures of both value and performance of real estate investments trusts (REITs).</w:t>
      </w:r>
    </w:p>
    <w:p w14:paraId="2FAC50F8" w14:textId="77777777" w:rsidR="009B30F4" w:rsidRDefault="009B30F4">
      <w:pPr>
        <w:pStyle w:val="Body"/>
        <w:spacing w:after="0"/>
        <w:rPr>
          <w:sz w:val="22"/>
          <w:szCs w:val="22"/>
          <w:u w:val="single"/>
        </w:rPr>
      </w:pPr>
    </w:p>
    <w:p w14:paraId="2FAC50F9" w14:textId="77777777" w:rsidR="009B30F4" w:rsidRDefault="001D2C50">
      <w:pPr>
        <w:pStyle w:val="Body"/>
        <w:spacing w:after="0"/>
        <w:rPr>
          <w:sz w:val="22"/>
          <w:szCs w:val="22"/>
          <w:u w:val="single"/>
        </w:rPr>
      </w:pPr>
      <w:r>
        <w:rPr>
          <w:sz w:val="22"/>
          <w:szCs w:val="22"/>
          <w:u w:val="single"/>
          <w:lang w:val="en-US"/>
        </w:rPr>
        <w:t>Bibliography and Viewings if Interested (Optional)</w:t>
      </w:r>
    </w:p>
    <w:p w14:paraId="2FAC50FA" w14:textId="77777777" w:rsidR="009B30F4" w:rsidRDefault="009B30F4">
      <w:pPr>
        <w:pStyle w:val="Body"/>
        <w:spacing w:after="0"/>
        <w:rPr>
          <w:sz w:val="22"/>
          <w:szCs w:val="22"/>
        </w:rPr>
      </w:pPr>
    </w:p>
    <w:p w14:paraId="2FAC50FB" w14:textId="77777777" w:rsidR="009B30F4" w:rsidRDefault="001D2C50">
      <w:pPr>
        <w:pStyle w:val="Body"/>
        <w:spacing w:after="0"/>
        <w:rPr>
          <w:sz w:val="22"/>
          <w:szCs w:val="22"/>
        </w:rPr>
      </w:pPr>
      <w:r>
        <w:rPr>
          <w:sz w:val="22"/>
          <w:szCs w:val="22"/>
        </w:rPr>
        <w:t xml:space="preserve">Barth, James R., et. al. </w:t>
      </w:r>
      <w:r>
        <w:rPr>
          <w:i/>
          <w:iCs/>
          <w:sz w:val="22"/>
          <w:szCs w:val="22"/>
          <w:lang w:val="en-US"/>
        </w:rPr>
        <w:t>The Rise and Fall of the U.S. Mortgage and Credit Markets: A Comprehensive Analysis of the Market Meltdown</w:t>
      </w:r>
      <w:r>
        <w:rPr>
          <w:sz w:val="22"/>
          <w:szCs w:val="22"/>
          <w:lang w:val="it-IT"/>
        </w:rPr>
        <w:t>.   John Wiley &amp; Sons, 2009 (PDF Posted)</w:t>
      </w:r>
    </w:p>
    <w:p w14:paraId="2FAC50FC" w14:textId="77777777" w:rsidR="009B30F4" w:rsidRDefault="009B30F4">
      <w:pPr>
        <w:pStyle w:val="Body"/>
        <w:spacing w:after="0"/>
        <w:rPr>
          <w:sz w:val="22"/>
          <w:szCs w:val="22"/>
        </w:rPr>
      </w:pPr>
    </w:p>
    <w:p w14:paraId="2FAC50FD" w14:textId="77777777" w:rsidR="009B30F4" w:rsidRDefault="001D2C50">
      <w:pPr>
        <w:pStyle w:val="Body"/>
        <w:rPr>
          <w:sz w:val="22"/>
          <w:szCs w:val="22"/>
        </w:rPr>
      </w:pPr>
      <w:r>
        <w:rPr>
          <w:sz w:val="22"/>
          <w:szCs w:val="22"/>
          <w:lang w:val="de-DE"/>
        </w:rPr>
        <w:t xml:space="preserve">Gramlich, Edward M. </w:t>
      </w:r>
      <w:r>
        <w:rPr>
          <w:i/>
          <w:iCs/>
          <w:sz w:val="22"/>
          <w:szCs w:val="22"/>
          <w:lang w:val="fr-FR"/>
        </w:rPr>
        <w:t>Subprime Mortgages: America</w:t>
      </w:r>
      <w:r>
        <w:rPr>
          <w:i/>
          <w:iCs/>
          <w:sz w:val="22"/>
          <w:szCs w:val="22"/>
          <w:rtl/>
        </w:rPr>
        <w:t>’</w:t>
      </w:r>
      <w:r>
        <w:rPr>
          <w:i/>
          <w:iCs/>
          <w:sz w:val="22"/>
          <w:szCs w:val="22"/>
          <w:lang w:val="en-US"/>
        </w:rPr>
        <w:t>s Latest Boom and Bust</w:t>
      </w:r>
      <w:r>
        <w:rPr>
          <w:sz w:val="22"/>
          <w:szCs w:val="22"/>
          <w:lang w:val="en-US"/>
        </w:rPr>
        <w:t>. Washington, D.C.: The Urban Institute, 2007. Print. (Available for Purchase from Urban Institute)</w:t>
      </w:r>
    </w:p>
    <w:p w14:paraId="2FAC50FE" w14:textId="77777777" w:rsidR="009B30F4" w:rsidRDefault="001D2C50">
      <w:pPr>
        <w:pStyle w:val="Body"/>
        <w:rPr>
          <w:sz w:val="22"/>
          <w:szCs w:val="22"/>
        </w:rPr>
      </w:pPr>
      <w:r>
        <w:rPr>
          <w:sz w:val="22"/>
          <w:szCs w:val="22"/>
          <w:lang w:val="de-DE"/>
        </w:rPr>
        <w:t xml:space="preserve">Lewis, Michael. </w:t>
      </w:r>
      <w:r>
        <w:rPr>
          <w:i/>
          <w:iCs/>
          <w:sz w:val="22"/>
          <w:szCs w:val="22"/>
          <w:lang w:val="en-US"/>
        </w:rPr>
        <w:t>The Big Short: Inside the Doomsday Machine</w:t>
      </w:r>
      <w:r>
        <w:rPr>
          <w:sz w:val="22"/>
          <w:szCs w:val="22"/>
        </w:rPr>
        <w:t>. New York: W.W. Norton, 2010. Print.</w:t>
      </w:r>
    </w:p>
    <w:p w14:paraId="2FAC50FF" w14:textId="77777777" w:rsidR="009B30F4" w:rsidRDefault="001D2C50">
      <w:pPr>
        <w:pStyle w:val="Body"/>
        <w:rPr>
          <w:i/>
          <w:iCs/>
          <w:sz w:val="22"/>
          <w:szCs w:val="22"/>
        </w:rPr>
      </w:pPr>
      <w:r>
        <w:rPr>
          <w:sz w:val="22"/>
          <w:szCs w:val="22"/>
        </w:rPr>
        <w:t xml:space="preserve">Lowenstein, Roger.  </w:t>
      </w:r>
      <w:r>
        <w:rPr>
          <w:i/>
          <w:iCs/>
          <w:sz w:val="22"/>
          <w:szCs w:val="22"/>
          <w:lang w:val="en-US"/>
        </w:rPr>
        <w:t xml:space="preserve">When Genius Failed:  The </w:t>
      </w:r>
      <w:r>
        <w:rPr>
          <w:sz w:val="22"/>
          <w:szCs w:val="22"/>
        </w:rPr>
        <w:t>Rise</w:t>
      </w:r>
      <w:r>
        <w:rPr>
          <w:i/>
          <w:iCs/>
          <w:sz w:val="22"/>
          <w:szCs w:val="22"/>
          <w:lang w:val="en-US"/>
        </w:rPr>
        <w:t xml:space="preserve"> and Fall of LongTerm Capital Management</w:t>
      </w:r>
    </w:p>
    <w:p w14:paraId="2FAC5100" w14:textId="77777777" w:rsidR="009B30F4" w:rsidRDefault="001D2C50">
      <w:pPr>
        <w:pStyle w:val="Body"/>
        <w:rPr>
          <w:sz w:val="22"/>
          <w:szCs w:val="22"/>
        </w:rPr>
      </w:pPr>
      <w:r>
        <w:rPr>
          <w:sz w:val="22"/>
          <w:szCs w:val="22"/>
          <w:lang w:val="en-US"/>
        </w:rPr>
        <w:t>Sorkin, Andrew Ross. Too Big to Fail: The Inside Story of How Wall Street and Washington Fought to Save the Financial System from Crisis--and Themselves. New York: Viking, 2009. Print.</w:t>
      </w:r>
    </w:p>
    <w:p w14:paraId="2FAC5101" w14:textId="77777777" w:rsidR="009B30F4" w:rsidRDefault="001D2C50">
      <w:pPr>
        <w:pStyle w:val="Body"/>
        <w:rPr>
          <w:sz w:val="22"/>
          <w:szCs w:val="22"/>
        </w:rPr>
      </w:pPr>
      <w:r>
        <w:rPr>
          <w:sz w:val="22"/>
          <w:szCs w:val="22"/>
          <w:lang w:val="de-DE"/>
        </w:rPr>
        <w:t>Lewis , Michael</w:t>
      </w:r>
      <w:r>
        <w:rPr>
          <w:i/>
          <w:iCs/>
          <w:sz w:val="22"/>
          <w:szCs w:val="22"/>
        </w:rPr>
        <w:t xml:space="preserve">.  Boomerang.  </w:t>
      </w:r>
      <w:r>
        <w:rPr>
          <w:sz w:val="22"/>
          <w:szCs w:val="22"/>
        </w:rPr>
        <w:t>Norton Press</w:t>
      </w:r>
    </w:p>
    <w:p w14:paraId="2FAC5102" w14:textId="77777777" w:rsidR="009B30F4" w:rsidRDefault="001D2C50">
      <w:pPr>
        <w:pStyle w:val="Body"/>
        <w:rPr>
          <w:sz w:val="22"/>
          <w:szCs w:val="22"/>
        </w:rPr>
      </w:pPr>
      <w:r>
        <w:rPr>
          <w:sz w:val="22"/>
          <w:szCs w:val="22"/>
          <w:lang w:val="en-US"/>
        </w:rPr>
        <w:t>Movie:  99 Homes</w:t>
      </w:r>
    </w:p>
    <w:p w14:paraId="2FAC5103" w14:textId="77777777" w:rsidR="009B30F4" w:rsidRDefault="001D2C50">
      <w:pPr>
        <w:pStyle w:val="Body"/>
        <w:rPr>
          <w:sz w:val="22"/>
          <w:szCs w:val="22"/>
          <w:lang w:val="de-DE"/>
        </w:rPr>
      </w:pPr>
      <w:r>
        <w:rPr>
          <w:sz w:val="22"/>
          <w:szCs w:val="22"/>
          <w:lang w:val="de-DE"/>
        </w:rPr>
        <w:t xml:space="preserve">Text: </w:t>
      </w:r>
      <w:r>
        <w:rPr>
          <w:i/>
          <w:iCs/>
          <w:sz w:val="22"/>
          <w:szCs w:val="22"/>
          <w:lang w:val="en-US"/>
        </w:rPr>
        <w:t>Commercial Real Estate Analysis &amp; Investments</w:t>
      </w:r>
      <w:r>
        <w:rPr>
          <w:sz w:val="22"/>
          <w:szCs w:val="22"/>
          <w:lang w:val="de-DE"/>
        </w:rPr>
        <w:t>, Geltner, Miller, Clayton and Eicholtz</w:t>
      </w:r>
    </w:p>
    <w:p w14:paraId="2FAC5104" w14:textId="77777777" w:rsidR="00B1618B" w:rsidRDefault="00B1618B">
      <w:pPr>
        <w:pStyle w:val="Body"/>
        <w:rPr>
          <w:sz w:val="22"/>
          <w:szCs w:val="22"/>
        </w:rPr>
      </w:pPr>
      <w:r>
        <w:rPr>
          <w:sz w:val="22"/>
          <w:szCs w:val="22"/>
          <w:lang w:val="de-DE"/>
        </w:rPr>
        <w:t xml:space="preserve">Text:  </w:t>
      </w:r>
      <w:r w:rsidRPr="00B1618B">
        <w:rPr>
          <w:i/>
          <w:sz w:val="22"/>
          <w:szCs w:val="22"/>
          <w:lang w:val="de-DE"/>
        </w:rPr>
        <w:t>Real Estate Finance &amp; Investment,</w:t>
      </w:r>
      <w:r>
        <w:rPr>
          <w:sz w:val="22"/>
          <w:szCs w:val="22"/>
          <w:lang w:val="de-DE"/>
        </w:rPr>
        <w:t xml:space="preserve">  William B. Brueggeman and Jeffrey Fisher</w:t>
      </w:r>
    </w:p>
    <w:p w14:paraId="2FAC5105" w14:textId="77777777" w:rsidR="009B30F4" w:rsidRDefault="009B30F4">
      <w:pPr>
        <w:pStyle w:val="Body"/>
        <w:rPr>
          <w:i/>
          <w:iCs/>
          <w:sz w:val="22"/>
          <w:szCs w:val="22"/>
        </w:rPr>
      </w:pPr>
    </w:p>
    <w:p w14:paraId="2FAC5106" w14:textId="77777777" w:rsidR="009B30F4" w:rsidRDefault="009B30F4">
      <w:pPr>
        <w:pStyle w:val="Body"/>
        <w:rPr>
          <w:sz w:val="22"/>
          <w:szCs w:val="22"/>
        </w:rPr>
      </w:pPr>
    </w:p>
    <w:p w14:paraId="2FAC5107" w14:textId="77777777" w:rsidR="009B30F4" w:rsidRDefault="001D2C50">
      <w:pPr>
        <w:pStyle w:val="Body"/>
        <w:spacing w:after="0"/>
        <w:rPr>
          <w:rFonts w:ascii="Arial" w:eastAsia="Arial" w:hAnsi="Arial" w:cs="Arial"/>
        </w:rPr>
      </w:pPr>
      <w:r>
        <w:rPr>
          <w:rStyle w:val="Link"/>
          <w:rFonts w:ascii="Arial" w:hAnsi="Arial"/>
          <w:b/>
          <w:bCs/>
          <w:color w:val="000000"/>
          <w:u w:color="000000"/>
        </w:rPr>
        <w:t>Recommended Reading</w:t>
      </w:r>
      <w:r>
        <w:rPr>
          <w:rStyle w:val="Link"/>
          <w:rFonts w:ascii="Arial" w:hAnsi="Arial"/>
          <w:b/>
          <w:bCs/>
          <w:color w:val="000000"/>
          <w:u w:val="none" w:color="000000"/>
        </w:rPr>
        <w:t>:    NY Times</w:t>
      </w:r>
      <w:r>
        <w:rPr>
          <w:rFonts w:ascii="Arial" w:hAnsi="Arial"/>
          <w:b/>
          <w:bCs/>
        </w:rPr>
        <w:t xml:space="preserve">; </w:t>
      </w:r>
      <w:r>
        <w:rPr>
          <w:rFonts w:ascii="Arial" w:hAnsi="Arial"/>
          <w:lang w:val="en-US"/>
        </w:rPr>
        <w:t>Sunday and Wednesday Real Estate Sections; Wall Street Journal; Crain’s NY Business and Bloomberg.</w:t>
      </w:r>
    </w:p>
    <w:p w14:paraId="2FAC5108" w14:textId="77777777" w:rsidR="009B30F4" w:rsidRDefault="009B30F4">
      <w:pPr>
        <w:pStyle w:val="Body"/>
        <w:rPr>
          <w:rFonts w:ascii="Arial" w:eastAsia="Arial" w:hAnsi="Arial" w:cs="Arial"/>
          <w:b/>
          <w:bCs/>
        </w:rPr>
      </w:pPr>
    </w:p>
    <w:p w14:paraId="2FAC5109" w14:textId="77777777" w:rsidR="009B30F4" w:rsidRDefault="009B30F4">
      <w:pPr>
        <w:pStyle w:val="Body"/>
        <w:jc w:val="center"/>
        <w:rPr>
          <w:rFonts w:ascii="Arial" w:eastAsia="Arial" w:hAnsi="Arial" w:cs="Arial"/>
          <w:b/>
          <w:bCs/>
        </w:rPr>
      </w:pPr>
    </w:p>
    <w:p w14:paraId="2FAC510A" w14:textId="77777777" w:rsidR="009B30F4" w:rsidRDefault="009B30F4">
      <w:pPr>
        <w:pStyle w:val="Body"/>
        <w:jc w:val="center"/>
        <w:rPr>
          <w:rFonts w:ascii="Arial" w:eastAsia="Arial" w:hAnsi="Arial" w:cs="Arial"/>
          <w:b/>
          <w:bCs/>
        </w:rPr>
      </w:pPr>
    </w:p>
    <w:p w14:paraId="2FAC510B" w14:textId="77777777" w:rsidR="009B30F4" w:rsidRDefault="001D2C50">
      <w:pPr>
        <w:pStyle w:val="Body"/>
        <w:rPr>
          <w:rFonts w:ascii="Arial" w:eastAsia="Arial" w:hAnsi="Arial" w:cs="Arial"/>
          <w:b/>
          <w:bCs/>
        </w:rPr>
      </w:pPr>
      <w:r>
        <w:rPr>
          <w:rFonts w:ascii="Arial" w:hAnsi="Arial"/>
          <w:b/>
          <w:bCs/>
          <w:lang w:val="en-US"/>
        </w:rPr>
        <w:t xml:space="preserve">                         Real Estate Investments in the 21</w:t>
      </w:r>
      <w:r>
        <w:rPr>
          <w:rFonts w:ascii="Arial" w:hAnsi="Arial"/>
          <w:b/>
          <w:bCs/>
          <w:vertAlign w:val="superscript"/>
        </w:rPr>
        <w:t>st</w:t>
      </w:r>
      <w:r>
        <w:rPr>
          <w:rFonts w:ascii="Arial" w:hAnsi="Arial"/>
          <w:b/>
          <w:bCs/>
        </w:rPr>
        <w:t xml:space="preserve"> Century </w:t>
      </w:r>
    </w:p>
    <w:p w14:paraId="2FAC510C" w14:textId="77777777" w:rsidR="009B30F4" w:rsidRDefault="001D2C50">
      <w:pPr>
        <w:pStyle w:val="Body"/>
        <w:jc w:val="center"/>
        <w:rPr>
          <w:rFonts w:ascii="Arial" w:eastAsia="Arial" w:hAnsi="Arial" w:cs="Arial"/>
          <w:b/>
          <w:bCs/>
        </w:rPr>
      </w:pPr>
      <w:r>
        <w:rPr>
          <w:rFonts w:ascii="Arial" w:hAnsi="Arial"/>
          <w:b/>
          <w:bCs/>
          <w:lang w:val="en-US"/>
        </w:rPr>
        <w:t xml:space="preserve">Schedule:  9:30am – </w:t>
      </w:r>
      <w:r>
        <w:rPr>
          <w:rFonts w:ascii="Arial" w:hAnsi="Arial"/>
          <w:b/>
          <w:bCs/>
        </w:rPr>
        <w:t>11:00am</w:t>
      </w:r>
    </w:p>
    <w:p w14:paraId="2FAC510D" w14:textId="77777777" w:rsidR="009B30F4" w:rsidRDefault="001D2C50">
      <w:pPr>
        <w:pStyle w:val="Body"/>
        <w:jc w:val="center"/>
        <w:rPr>
          <w:rFonts w:ascii="Arial" w:eastAsia="Arial" w:hAnsi="Arial" w:cs="Arial"/>
          <w:b/>
          <w:bCs/>
        </w:rPr>
      </w:pPr>
      <w:r>
        <w:rPr>
          <w:rFonts w:ascii="Arial" w:hAnsi="Arial"/>
          <w:b/>
          <w:bCs/>
          <w:lang w:val="en-US"/>
        </w:rPr>
        <w:t xml:space="preserve"> Thursdays- September </w:t>
      </w:r>
      <w:r w:rsidR="000E4557">
        <w:rPr>
          <w:rFonts w:ascii="Arial" w:hAnsi="Arial"/>
          <w:b/>
          <w:bCs/>
          <w:lang w:val="en-US"/>
        </w:rPr>
        <w:t>2</w:t>
      </w:r>
      <w:r w:rsidR="000E0071">
        <w:rPr>
          <w:rFonts w:ascii="Arial" w:hAnsi="Arial"/>
          <w:b/>
          <w:bCs/>
          <w:lang w:val="en-US"/>
        </w:rPr>
        <w:t>4</w:t>
      </w:r>
      <w:r>
        <w:rPr>
          <w:rFonts w:ascii="Arial" w:hAnsi="Arial"/>
          <w:b/>
          <w:bCs/>
          <w:lang w:val="en-US"/>
        </w:rPr>
        <w:t>th- October  29th, 2020</w:t>
      </w:r>
    </w:p>
    <w:p w14:paraId="2FAC510E" w14:textId="77777777" w:rsidR="009B30F4" w:rsidRDefault="001D2C50">
      <w:pPr>
        <w:pStyle w:val="Body"/>
        <w:jc w:val="center"/>
        <w:rPr>
          <w:rFonts w:ascii="Arial" w:eastAsia="Arial" w:hAnsi="Arial" w:cs="Arial"/>
        </w:rPr>
      </w:pPr>
      <w:r>
        <w:rPr>
          <w:rFonts w:ascii="Arial" w:eastAsia="Arial" w:hAnsi="Arial" w:cs="Arial"/>
          <w:noProof/>
          <w:sz w:val="22"/>
          <w:szCs w:val="22"/>
          <w:lang w:val="en-US"/>
        </w:rPr>
        <mc:AlternateContent>
          <mc:Choice Requires="wps">
            <w:drawing>
              <wp:inline distT="0" distB="0" distL="0" distR="0" wp14:anchorId="2FAC513C" wp14:editId="2FAC513D">
                <wp:extent cx="5486273" cy="17585"/>
                <wp:effectExtent l="0" t="0" r="0" b="0"/>
                <wp:docPr id="1073741826" name="officeArt object"/>
                <wp:cNvGraphicFramePr/>
                <a:graphic xmlns:a="http://schemas.openxmlformats.org/drawingml/2006/main">
                  <a:graphicData uri="http://schemas.microsoft.com/office/word/2010/wordprocessingShape">
                    <wps:wsp>
                      <wps:cNvSpPr/>
                      <wps:spPr>
                        <a:xfrm>
                          <a:off x="0" y="0"/>
                          <a:ext cx="5486273" cy="17585"/>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432.0pt;height:1.4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2FAC510F" w14:textId="77777777" w:rsidR="009B30F4" w:rsidRDefault="009B30F4">
      <w:pPr>
        <w:pStyle w:val="Body"/>
        <w:jc w:val="center"/>
        <w:rPr>
          <w:rFonts w:ascii="Arial" w:eastAsia="Arial" w:hAnsi="Arial" w:cs="Arial"/>
        </w:rPr>
      </w:pPr>
    </w:p>
    <w:tbl>
      <w:tblPr>
        <w:tblW w:w="87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8"/>
        <w:gridCol w:w="1130"/>
        <w:gridCol w:w="3465"/>
        <w:gridCol w:w="2983"/>
      </w:tblGrid>
      <w:tr w:rsidR="009B30F4" w14:paraId="2FAC5114" w14:textId="77777777">
        <w:trPr>
          <w:trHeight w:val="282"/>
          <w:jc w:val="center"/>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10" w14:textId="77777777" w:rsidR="009B30F4" w:rsidRDefault="001D2C50">
            <w:pPr>
              <w:pStyle w:val="Body"/>
              <w:spacing w:before="120"/>
              <w:jc w:val="center"/>
            </w:pPr>
            <w:r>
              <w:rPr>
                <w:rFonts w:ascii="Arial" w:hAnsi="Arial"/>
                <w:b/>
                <w:bCs/>
                <w:lang w:val="en-US"/>
              </w:rPr>
              <w:t>Week</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11" w14:textId="77777777" w:rsidR="009B30F4" w:rsidRDefault="001D2C50">
            <w:pPr>
              <w:pStyle w:val="Body"/>
              <w:spacing w:before="120"/>
              <w:jc w:val="center"/>
            </w:pPr>
            <w:r>
              <w:rPr>
                <w:rFonts w:ascii="Arial" w:hAnsi="Arial"/>
                <w:b/>
                <w:bCs/>
                <w:lang w:val="en-US"/>
              </w:rPr>
              <w:t>Date</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12" w14:textId="77777777" w:rsidR="009B30F4" w:rsidRDefault="001D2C50">
            <w:pPr>
              <w:pStyle w:val="Body"/>
              <w:spacing w:before="120"/>
              <w:jc w:val="center"/>
            </w:pPr>
            <w:r>
              <w:rPr>
                <w:rFonts w:ascii="Arial" w:hAnsi="Arial"/>
                <w:b/>
                <w:bCs/>
                <w:lang w:val="en-US"/>
              </w:rPr>
              <w:t>Topic</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C5113" w14:textId="77777777" w:rsidR="009B30F4" w:rsidRDefault="001D2C50">
            <w:pPr>
              <w:pStyle w:val="Body"/>
              <w:spacing w:before="120"/>
              <w:jc w:val="center"/>
            </w:pPr>
            <w:r>
              <w:rPr>
                <w:rFonts w:ascii="Arial" w:hAnsi="Arial"/>
                <w:b/>
                <w:bCs/>
                <w:lang w:val="en-US"/>
              </w:rPr>
              <w:t>Chaps/Case/Reading</w:t>
            </w:r>
          </w:p>
        </w:tc>
      </w:tr>
      <w:tr w:rsidR="009B30F4" w14:paraId="2FAC511A" w14:textId="77777777">
        <w:trPr>
          <w:trHeight w:val="682"/>
          <w:jc w:val="center"/>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15" w14:textId="77777777" w:rsidR="009B30F4" w:rsidRDefault="001D2C50">
            <w:pPr>
              <w:pStyle w:val="Body"/>
              <w:spacing w:before="120"/>
            </w:pPr>
            <w:r>
              <w:rPr>
                <w:rFonts w:ascii="Arial" w:hAnsi="Arial"/>
                <w:lang w:val="en-US"/>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16" w14:textId="77777777" w:rsidR="009B30F4" w:rsidRDefault="001D2C50">
            <w:pPr>
              <w:pStyle w:val="Body"/>
              <w:spacing w:before="120"/>
            </w:pPr>
            <w:r>
              <w:rPr>
                <w:rFonts w:ascii="Arial" w:hAnsi="Arial"/>
                <w:lang w:val="en-US"/>
              </w:rPr>
              <w:t>Sept 24</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17" w14:textId="77777777" w:rsidR="009B30F4" w:rsidRDefault="001D2C50">
            <w:pPr>
              <w:pStyle w:val="Body"/>
              <w:spacing w:before="120"/>
            </w:pPr>
            <w:r>
              <w:rPr>
                <w:rFonts w:ascii="Arial" w:hAnsi="Arial"/>
                <w:lang w:val="en-US"/>
              </w:rPr>
              <w:t>Introduction to Real Estate Investment Fundamentals</w:t>
            </w:r>
            <w:r w:rsidR="0063425B">
              <w:rPr>
                <w:rFonts w:ascii="Arial" w:hAnsi="Arial"/>
                <w:lang w:val="en-US"/>
              </w:rPr>
              <w:t xml:space="preserve">- Investment criteria- IRR, NPV </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C5118" w14:textId="77777777" w:rsidR="009B30F4" w:rsidRDefault="001D2C50">
            <w:pPr>
              <w:pStyle w:val="Body"/>
              <w:spacing w:before="120"/>
              <w:rPr>
                <w:rFonts w:ascii="Arial" w:eastAsia="Arial" w:hAnsi="Arial" w:cs="Arial"/>
              </w:rPr>
            </w:pPr>
            <w:r>
              <w:rPr>
                <w:rFonts w:ascii="Arial" w:hAnsi="Arial"/>
                <w:lang w:val="en-US"/>
              </w:rPr>
              <w:t>Reference to Big Short</w:t>
            </w:r>
          </w:p>
          <w:p w14:paraId="2FAC5119" w14:textId="77777777" w:rsidR="009B30F4" w:rsidRDefault="001D2C50">
            <w:pPr>
              <w:pStyle w:val="Body"/>
              <w:spacing w:before="120"/>
            </w:pPr>
            <w:r>
              <w:rPr>
                <w:rFonts w:ascii="Arial" w:hAnsi="Arial"/>
                <w:lang w:val="en-US"/>
              </w:rPr>
              <w:t>Film 99 Homes</w:t>
            </w:r>
          </w:p>
        </w:tc>
      </w:tr>
      <w:tr w:rsidR="009B30F4" w14:paraId="2FAC511F" w14:textId="77777777">
        <w:trPr>
          <w:trHeight w:val="562"/>
          <w:jc w:val="center"/>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1B" w14:textId="77777777" w:rsidR="009B30F4" w:rsidRDefault="009B30F4"/>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1C" w14:textId="77777777" w:rsidR="009B30F4" w:rsidRDefault="009B30F4"/>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1D" w14:textId="77777777" w:rsidR="009B30F4" w:rsidRDefault="001D2C50">
            <w:pPr>
              <w:pStyle w:val="Body"/>
              <w:spacing w:before="120"/>
            </w:pPr>
            <w:r>
              <w:rPr>
                <w:rFonts w:ascii="Arial" w:hAnsi="Arial"/>
                <w:lang w:val="en-US"/>
              </w:rPr>
              <w:t>RE Contribution to the causes of the Great Recession</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C511E" w14:textId="77777777" w:rsidR="009B30F4" w:rsidRDefault="001D2C50">
            <w:pPr>
              <w:pStyle w:val="Body"/>
              <w:spacing w:before="120"/>
            </w:pPr>
            <w:r>
              <w:rPr>
                <w:rFonts w:ascii="Arial" w:hAnsi="Arial"/>
                <w:lang w:val="en-US"/>
              </w:rPr>
              <w:t>See  above</w:t>
            </w:r>
          </w:p>
        </w:tc>
      </w:tr>
      <w:tr w:rsidR="009B30F4" w14:paraId="2FAC5124" w14:textId="77777777">
        <w:trPr>
          <w:trHeight w:val="562"/>
          <w:jc w:val="center"/>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20" w14:textId="77777777" w:rsidR="009B30F4" w:rsidRDefault="001D2C50">
            <w:pPr>
              <w:pStyle w:val="Body"/>
              <w:spacing w:before="120"/>
            </w:pPr>
            <w:r>
              <w:rPr>
                <w:rFonts w:ascii="Arial" w:hAnsi="Arial"/>
                <w:lang w:val="en-US"/>
              </w:rPr>
              <w:t>2</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21" w14:textId="77777777" w:rsidR="009B30F4" w:rsidRDefault="001D2C50">
            <w:pPr>
              <w:pStyle w:val="Body"/>
              <w:spacing w:before="120"/>
            </w:pPr>
            <w:r>
              <w:rPr>
                <w:rFonts w:ascii="Arial" w:hAnsi="Arial"/>
                <w:lang w:val="en-US"/>
              </w:rPr>
              <w:t xml:space="preserve"> Oct 1</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22" w14:textId="77777777" w:rsidR="009B30F4" w:rsidRDefault="001D2C50">
            <w:pPr>
              <w:pStyle w:val="Body"/>
              <w:spacing w:before="120"/>
            </w:pPr>
            <w:r>
              <w:rPr>
                <w:rFonts w:ascii="Arial" w:hAnsi="Arial"/>
                <w:lang w:val="en-US"/>
              </w:rPr>
              <w:t>The Role of RE in our communities and society</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C5123" w14:textId="77777777" w:rsidR="009B30F4" w:rsidRDefault="001D2C50">
            <w:pPr>
              <w:pStyle w:val="Body"/>
              <w:spacing w:before="120"/>
            </w:pPr>
            <w:r>
              <w:rPr>
                <w:rFonts w:ascii="Arial" w:hAnsi="Arial"/>
                <w:lang w:val="en-US"/>
              </w:rPr>
              <w:t>Affordable and Work -force housing</w:t>
            </w:r>
          </w:p>
        </w:tc>
      </w:tr>
      <w:tr w:rsidR="009B30F4" w14:paraId="2FAC5129" w14:textId="77777777">
        <w:trPr>
          <w:trHeight w:val="562"/>
          <w:jc w:val="center"/>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25" w14:textId="77777777" w:rsidR="009B30F4" w:rsidRDefault="001D2C50">
            <w:pPr>
              <w:pStyle w:val="Body"/>
              <w:spacing w:before="120"/>
            </w:pPr>
            <w:r>
              <w:rPr>
                <w:rFonts w:ascii="Arial" w:hAnsi="Arial"/>
                <w:lang w:val="en-US"/>
              </w:rPr>
              <w:t>3</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26" w14:textId="77777777" w:rsidR="009B30F4" w:rsidRDefault="001D2C50">
            <w:pPr>
              <w:pStyle w:val="Body"/>
              <w:spacing w:before="120"/>
            </w:pPr>
            <w:r>
              <w:rPr>
                <w:rFonts w:ascii="Arial" w:hAnsi="Arial"/>
                <w:lang w:val="en-US"/>
              </w:rPr>
              <w:t>Oct 8</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27" w14:textId="77777777" w:rsidR="009B30F4" w:rsidRDefault="001D2C50">
            <w:pPr>
              <w:pStyle w:val="Body"/>
              <w:spacing w:before="120"/>
            </w:pPr>
            <w:r>
              <w:rPr>
                <w:rFonts w:ascii="Arial" w:hAnsi="Arial"/>
                <w:lang w:val="en-US"/>
              </w:rPr>
              <w:t xml:space="preserve">Market Trends and the rise of alternative RE investments          </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C5128" w14:textId="77777777" w:rsidR="009B30F4" w:rsidRDefault="009B30F4"/>
        </w:tc>
      </w:tr>
      <w:tr w:rsidR="009B30F4" w14:paraId="2FAC512E" w14:textId="77777777">
        <w:trPr>
          <w:trHeight w:val="618"/>
          <w:jc w:val="center"/>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2A" w14:textId="77777777" w:rsidR="009B30F4" w:rsidRDefault="001D2C50">
            <w:pPr>
              <w:pStyle w:val="Body"/>
              <w:spacing w:before="120"/>
            </w:pPr>
            <w:r>
              <w:rPr>
                <w:rFonts w:ascii="Arial" w:hAnsi="Arial"/>
                <w:lang w:val="en-US"/>
              </w:rPr>
              <w:t>4</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2B" w14:textId="77777777" w:rsidR="009B30F4" w:rsidRDefault="001D2C50">
            <w:pPr>
              <w:pStyle w:val="Body"/>
              <w:spacing w:before="120"/>
            </w:pPr>
            <w:r>
              <w:rPr>
                <w:rFonts w:ascii="Arial" w:hAnsi="Arial"/>
                <w:lang w:val="en-US"/>
              </w:rPr>
              <w:t>Oct 15</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2C" w14:textId="77777777" w:rsidR="009B30F4" w:rsidRDefault="001D2C50">
            <w:pPr>
              <w:pStyle w:val="Body"/>
              <w:spacing w:before="120"/>
            </w:pPr>
            <w:r>
              <w:rPr>
                <w:rFonts w:ascii="Arial" w:hAnsi="Arial"/>
                <w:lang w:val="en-US"/>
              </w:rPr>
              <w:t>Advent of REITS and CMBS – Market Trends/Valuations</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C512D" w14:textId="77777777" w:rsidR="009B30F4" w:rsidRDefault="009B30F4"/>
        </w:tc>
      </w:tr>
      <w:tr w:rsidR="009B30F4" w14:paraId="2FAC5133" w14:textId="77777777">
        <w:trPr>
          <w:trHeight w:val="562"/>
          <w:jc w:val="center"/>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2F" w14:textId="77777777" w:rsidR="009B30F4" w:rsidRDefault="001D2C50">
            <w:pPr>
              <w:pStyle w:val="Body"/>
              <w:spacing w:before="120"/>
            </w:pPr>
            <w:r>
              <w:rPr>
                <w:rFonts w:ascii="Arial" w:hAnsi="Arial"/>
                <w:lang w:val="en-US"/>
              </w:rPr>
              <w:t>5</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30" w14:textId="77777777" w:rsidR="009B30F4" w:rsidRDefault="001D2C50">
            <w:pPr>
              <w:pStyle w:val="Body"/>
              <w:spacing w:before="120"/>
            </w:pPr>
            <w:r>
              <w:rPr>
                <w:rFonts w:ascii="Arial" w:hAnsi="Arial"/>
                <w:lang w:val="en-US"/>
              </w:rPr>
              <w:t>Oct  22</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31" w14:textId="77777777" w:rsidR="009B30F4" w:rsidRDefault="001D2C50">
            <w:pPr>
              <w:pStyle w:val="Body"/>
              <w:spacing w:before="120"/>
            </w:pPr>
            <w:r>
              <w:rPr>
                <w:rFonts w:ascii="Arial" w:hAnsi="Arial"/>
                <w:lang w:val="en-US"/>
              </w:rPr>
              <w:t>Private Debt Markets/Rating Agencies</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C5132" w14:textId="77777777" w:rsidR="009B30F4" w:rsidRDefault="009B30F4"/>
        </w:tc>
      </w:tr>
      <w:tr w:rsidR="009B30F4" w14:paraId="2FAC5138" w14:textId="77777777">
        <w:trPr>
          <w:trHeight w:val="683"/>
          <w:jc w:val="center"/>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34" w14:textId="77777777" w:rsidR="009B30F4" w:rsidRDefault="001D2C50">
            <w:pPr>
              <w:pStyle w:val="Body"/>
              <w:spacing w:before="120"/>
            </w:pPr>
            <w:r>
              <w:rPr>
                <w:rFonts w:ascii="Arial" w:hAnsi="Arial"/>
                <w:lang w:val="en-US"/>
              </w:rPr>
              <w:t>6</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35" w14:textId="77777777" w:rsidR="009B30F4" w:rsidRDefault="001D2C50">
            <w:pPr>
              <w:pStyle w:val="Body"/>
              <w:spacing w:before="120"/>
            </w:pPr>
            <w:r>
              <w:rPr>
                <w:rFonts w:ascii="Arial" w:hAnsi="Arial"/>
                <w:lang w:val="en-US"/>
              </w:rPr>
              <w:t>Oct 29</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C5136" w14:textId="77777777" w:rsidR="009B30F4" w:rsidRDefault="001D2C50">
            <w:pPr>
              <w:pStyle w:val="Body"/>
              <w:spacing w:before="120"/>
            </w:pPr>
            <w:r>
              <w:rPr>
                <w:rFonts w:ascii="Arial" w:hAnsi="Arial"/>
                <w:lang w:val="en-US"/>
              </w:rPr>
              <w:t>Bringing it All Together</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C5137" w14:textId="77777777" w:rsidR="009B30F4" w:rsidRDefault="001D2C50">
            <w:pPr>
              <w:pStyle w:val="Body"/>
              <w:spacing w:before="120"/>
            </w:pPr>
            <w:r>
              <w:rPr>
                <w:rFonts w:ascii="Arial" w:hAnsi="Arial"/>
                <w:lang w:val="en-US"/>
              </w:rPr>
              <w:t xml:space="preserve">  </w:t>
            </w:r>
          </w:p>
        </w:tc>
      </w:tr>
    </w:tbl>
    <w:p w14:paraId="2FAC5139" w14:textId="77777777" w:rsidR="009B30F4" w:rsidRDefault="009B30F4">
      <w:pPr>
        <w:pStyle w:val="Body"/>
        <w:widowControl w:val="0"/>
        <w:jc w:val="center"/>
      </w:pPr>
    </w:p>
    <w:sectPr w:rsidR="009B30F4">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C5140" w14:textId="77777777" w:rsidR="00540891" w:rsidRDefault="00540891">
      <w:r>
        <w:separator/>
      </w:r>
    </w:p>
  </w:endnote>
  <w:endnote w:type="continuationSeparator" w:id="0">
    <w:p w14:paraId="2FAC5141" w14:textId="77777777" w:rsidR="00540891" w:rsidRDefault="0054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5143" w14:textId="0204D26E" w:rsidR="009B30F4" w:rsidRDefault="001D2C50">
    <w:pPr>
      <w:pStyle w:val="Footer"/>
      <w:tabs>
        <w:tab w:val="clear" w:pos="8640"/>
        <w:tab w:val="right" w:pos="8620"/>
      </w:tabs>
      <w:jc w:val="center"/>
    </w:pPr>
    <w:r>
      <w:fldChar w:fldCharType="begin"/>
    </w:r>
    <w:r>
      <w:instrText xml:space="preserve"> PAGE </w:instrText>
    </w:r>
    <w:r>
      <w:fldChar w:fldCharType="separate"/>
    </w:r>
    <w:r w:rsidR="00DF232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C513E" w14:textId="77777777" w:rsidR="00540891" w:rsidRDefault="00540891">
      <w:r>
        <w:separator/>
      </w:r>
    </w:p>
  </w:footnote>
  <w:footnote w:type="continuationSeparator" w:id="0">
    <w:p w14:paraId="2FAC513F" w14:textId="77777777" w:rsidR="00540891" w:rsidRDefault="0054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5142" w14:textId="77777777" w:rsidR="009B30F4" w:rsidRDefault="009B30F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F4"/>
    <w:rsid w:val="000E0071"/>
    <w:rsid w:val="000E4557"/>
    <w:rsid w:val="001D2C50"/>
    <w:rsid w:val="00540891"/>
    <w:rsid w:val="0063425B"/>
    <w:rsid w:val="009B30F4"/>
    <w:rsid w:val="00B1618B"/>
    <w:rsid w:val="00B91AEE"/>
    <w:rsid w:val="00D3678A"/>
    <w:rsid w:val="00DF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50EE"/>
  <w15:docId w15:val="{F3F213C3-7ED1-4FB1-80CA-FD18DF50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pacing w:after="120"/>
    </w:pPr>
    <w:rPr>
      <w:rFonts w:cs="Arial Unicode MS"/>
      <w:color w:val="000000"/>
      <w:sz w:val="24"/>
      <w:szCs w:val="24"/>
      <w:u w:color="000000"/>
    </w:rPr>
  </w:style>
  <w:style w:type="paragraph" w:customStyle="1" w:styleId="Body">
    <w:name w:val="Body"/>
    <w:pPr>
      <w:spacing w:after="120"/>
    </w:pPr>
    <w:rPr>
      <w:rFonts w:cs="Arial Unicode MS"/>
      <w:color w:val="000000"/>
      <w:sz w:val="24"/>
      <w:szCs w:val="24"/>
      <w:u w:color="000000"/>
      <w:lang w:val="da-DK"/>
      <w14:textOutline w14:w="0" w14:cap="flat" w14:cmpd="sng" w14:algn="ctr">
        <w14:noFill/>
        <w14:prstDash w14:val="solid"/>
        <w14:bevel/>
      </w14:textOutline>
    </w:rPr>
  </w:style>
  <w:style w:type="paragraph" w:customStyle="1" w:styleId="Heading">
    <w:name w:val="Heading"/>
    <w:next w:val="Body"/>
    <w:pPr>
      <w:keepNext/>
      <w:spacing w:before="240" w:after="60"/>
      <w:outlineLvl w:val="0"/>
    </w:pPr>
    <w:rPr>
      <w:rFonts w:ascii="Arial" w:hAnsi="Arial" w:cs="Arial Unicode MS"/>
      <w:b/>
      <w:bCs/>
      <w:color w:val="000000"/>
      <w:kern w:val="32"/>
      <w:sz w:val="28"/>
      <w:szCs w:val="28"/>
      <w:u w:color="000000"/>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2</Pages>
  <Words>421</Words>
  <Characters>2200</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Ottoson</cp:lastModifiedBy>
  <cp:revision>6</cp:revision>
  <dcterms:created xsi:type="dcterms:W3CDTF">2020-09-06T12:04:00Z</dcterms:created>
  <dcterms:modified xsi:type="dcterms:W3CDTF">2020-09-20T17:25:00Z</dcterms:modified>
</cp:coreProperties>
</file>